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一、工作重点：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  <w:t>根据国务院《关于深入推进新型城镇化建设的若干意见》的文件精神和相关新兴产业政策，在党的十八大“大力推进生态文明、推进绿色发展、循环发展、低碳发展”可持续发展和十八届五中全会的五大发展理念精神指引下，开展的主要业务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 （一）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  <w:t>开展碳汇交易服务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1、继续跟踪去年与政府和企业碳交易项目合同的审定核查工作；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2、2017年碳交易开发项目要达到25个以上，每个联络处完成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2-3个；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考察调研内蒙东部区域草叶碳汇项目和青海荒漠化造林项目，由内蒙古联络处落实；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4、沟通政府，联手合作，完善碳市场发展体系建设；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①完善华碳资产管理及医疗、教育等股改工作；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②筹建“低碳产业杂志社”的相关事宜；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③筹备碳汇发展银行，加强与内蒙古自治区政府金融办的沟通。 这项工作沟通由内蒙古联络处负责，业务由低碳委商业银行发展部策划设计、筹备申报；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④内蒙古低碳发展研究院改编工作，由内蒙古联络处与碳市场发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展部配合，拟出改编相关的具体实施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5、碳汇交易方向（见表格）</w:t>
      </w:r>
    </w:p>
    <w:tbl>
      <w:tblPr>
        <w:tblStyle w:val="9"/>
        <w:tblW w:w="900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18"/>
        <w:gridCol w:w="2443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日 期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要   求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光伏发电项目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总装机大于20MW</w:t>
            </w:r>
          </w:p>
        </w:tc>
        <w:tc>
          <w:tcPr>
            <w:tcW w:w="320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风力发电项目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总装机大于30MW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煤层气（低浓度瓦斯）发电项目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瓦斯中甲烷浓度小于30%，发电机组装机容量大于1M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W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沼气发电项目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总装机大于1MW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  <w:t>垃圾焚烧发电项目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5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日处理垃圾大于300吨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  <w:t>垃圾填埋气发电项目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5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5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日进场垃圾大于400吨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0"/>
                <w:sz w:val="28"/>
                <w:szCs w:val="28"/>
                <w:lang w:val="en-US" w:eastAsia="zh-CN"/>
              </w:rPr>
              <w:t>生物质发电/供热项目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5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年消耗秸秆等生物质15万吨以上电厂或总蒸吨大于40吨/小时生物质锅炉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w w:val="100"/>
                <w:position w:val="-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w w:val="100"/>
                <w:position w:val="-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天然气热电联产（CCPP)项目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position w:val="-8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取代燃煤锅炉供热，替代以火电为主的电网提供的等量电量，年上网电量折算成等量二氧化碳当量</w:t>
            </w:r>
          </w:p>
        </w:tc>
        <w:tc>
          <w:tcPr>
            <w:tcW w:w="3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w w:val="100"/>
                <w:position w:val="-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0"/>
                <w:position w:val="-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钢铁/焦化行业热电联产（CCPP）项目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position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通过回收焦炉煤气进行热电联产，替代以火电为主的电网提供的等量电量，年上网电量折算成等量二氧化碳当量</w:t>
            </w:r>
          </w:p>
        </w:tc>
        <w:tc>
          <w:tcPr>
            <w:tcW w:w="320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w w:val="90"/>
                <w:position w:val="-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sz w:val="28"/>
                <w:szCs w:val="28"/>
                <w:lang w:val="en-US" w:eastAsia="zh-CN"/>
              </w:rPr>
              <w:t>农村户用沼气项目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通过建设农村户用沼气池，用于农户炊事，10000户以上，县级政府行为</w:t>
            </w:r>
          </w:p>
        </w:tc>
        <w:tc>
          <w:tcPr>
            <w:tcW w:w="320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项目建设手续（可研及批复、环评及批复、能评及意见）齐全或正在办理。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position w:val="-6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w w:val="93"/>
                <w:position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position w:val="-6"/>
                <w:sz w:val="28"/>
                <w:szCs w:val="28"/>
                <w:lang w:val="en-US" w:eastAsia="zh-CN"/>
              </w:rPr>
              <w:t xml:space="preserve"> 林业碳汇项目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2013年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新造林面积大于5万亩或森林经营面积大于10万公顷以上</w:t>
            </w:r>
          </w:p>
        </w:tc>
        <w:tc>
          <w:tcPr>
            <w:tcW w:w="320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林地为国有或集体用地，权属清晰明确，项目建设手续（建设林地设计文件、林权证、土地证）齐全或正在办理。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position w:val="-6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position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position w:val="-6"/>
                <w:sz w:val="28"/>
                <w:szCs w:val="28"/>
                <w:lang w:val="en-US" w:eastAsia="zh-CN"/>
              </w:rPr>
              <w:t xml:space="preserve"> 水利发电项目</w:t>
            </w:r>
          </w:p>
        </w:tc>
        <w:tc>
          <w:tcPr>
            <w:tcW w:w="11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2015年</w:t>
            </w:r>
          </w:p>
        </w:tc>
        <w:tc>
          <w:tcPr>
            <w:tcW w:w="2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1"/>
                <w:w w:val="10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装机容量大于10MW小于50MW的小水电项目</w:t>
            </w:r>
          </w:p>
        </w:tc>
        <w:tc>
          <w:tcPr>
            <w:tcW w:w="320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不设计移民及植被大面积破坏，项目建设手续（可研及批复、环评及批复、能评及意见）齐全或正在办理。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（二）项目融投资服务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1、2017年项目融资重点，是在城市基础设施，低碳城市，特色小镇，现代农业庄园等项目提供金融服务。主要针对政府PPP项目，项目规划总额计划达到305亿元；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策划筹备成立绿色农业发展办公室和特色小镇项目办公室。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参与地方政府策划绿色低碳发展论坛，2次以上。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4、融资年化率及融资方式（见表格）；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9"/>
        <w:tblW w:w="900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767"/>
        <w:gridCol w:w="162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类  别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领   域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年化率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融资方式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省市县政府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城市基础设施、医院改扩建、教育、低碳城市、特色小镇建设、垃圾处理、污水处理、现代农业庄园</w:t>
            </w:r>
          </w:p>
        </w:tc>
        <w:tc>
          <w:tcPr>
            <w:tcW w:w="16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4%-12%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PPP、发债、成立基金、信托、融资租赁等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企     业</w:t>
            </w:r>
          </w:p>
        </w:tc>
        <w:tc>
          <w:tcPr>
            <w:tcW w:w="2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国有企业、上市公司或行业内排名前50 的企业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视情况而定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lang w:eastAsia="zh-CN"/>
              </w:rPr>
              <w:t>企业债券、企业上市，发行信托、设立（引进）股权投资基金、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资产重组与并购、股票质押、定向增发、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lang w:eastAsia="zh-CN"/>
              </w:rPr>
              <w:t>融资租赁等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（三）县域民生帮扶援助服务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1、心系民生、惠及百姓、健康扶贫，继续开展对公立医院和企业医院，乡镇卫生院医疗设备帮扶援助工作。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①2017年要继续做好2016年医院帮扶援助项目的收尾工作；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②2017年要重点针对内蒙包头与其他各省、市、县医院，乡镇卫生院的帮扶援助工作，要达到15家医院，30家乡镇卫生院的帮扶援助项目落地。（援助内容、比例见表格）</w:t>
      </w:r>
    </w:p>
    <w:tbl>
      <w:tblPr>
        <w:tblStyle w:val="9"/>
        <w:tblW w:w="898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591"/>
        <w:gridCol w:w="4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9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类   别</w:t>
            </w:r>
          </w:p>
        </w:tc>
        <w:tc>
          <w:tcPr>
            <w:tcW w:w="259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帮扶援助对象</w:t>
            </w:r>
          </w:p>
        </w:tc>
        <w:tc>
          <w:tcPr>
            <w:tcW w:w="420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帮扶援助内容及援助比例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219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医疗帮扶援助</w:t>
            </w:r>
          </w:p>
        </w:tc>
        <w:tc>
          <w:tcPr>
            <w:tcW w:w="2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全国范围内的市、县公立医院（人民医院、中心医院、妇幼保健院、中医院、卫生院）、企业医院及部分民营医院</w:t>
            </w:r>
          </w:p>
        </w:tc>
        <w:tc>
          <w:tcPr>
            <w:tcW w:w="42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医院自选品牌型号、自报本地社会中标价格的基础上，大型设备在社会招标价格基础上降低医院采购费用30-50%、其他设备在社会招标价格基础上降低医院采购费用30-40%；特色专科打包设备在社会中标价基础上按30-40%补贴；根据医院实际需求，为医院改扩建、设备采购提供低息资金解决方案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教育帮扶援助服务，要继续推进教育部“三通两平台”网络信息化教学。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①2017年落实地级援助模式要达到1-2个教育局，达30-60万学生以上；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②2017年县级援助模式要达到3个县教育局；</w:t>
      </w:r>
    </w:p>
    <w:tbl>
      <w:tblPr>
        <w:tblStyle w:val="9"/>
        <w:tblW w:w="898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61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教育帮扶援助</w:t>
            </w:r>
          </w:p>
        </w:tc>
        <w:tc>
          <w:tcPr>
            <w:tcW w:w="261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-20"/>
                <w:position w:val="-6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全国范围的公立学校（小学、中学、高中）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以地市级单位援助模式：中、小学、高 中达到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30万在校学生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以上，基础设施设备全额投资（市县两级的计算中心，市县两级光纤专网，学校的有线天线一体网，所有教室的多媒体设备，教师办公的电脑与平板电脑软件平台集群，教师资源库、教师培训等）；每年运营维护费援助70%，派驻专业团队，运营20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以县级为单位的援助模式：中小学、高中达到8万学生以上，  根据学校需求设计方案，在社会中标价基础上援助30-35%。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中小企业发展服务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  主要是为中小企业的健康发展，高端规划，顶层设计，为中小企业提供平台渠道服务，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>支持方式如下：</w:t>
      </w:r>
    </w:p>
    <w:tbl>
      <w:tblPr>
        <w:tblStyle w:val="9"/>
        <w:tblW w:w="900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5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支持领域</w:t>
            </w:r>
          </w:p>
        </w:tc>
        <w:tc>
          <w:tcPr>
            <w:tcW w:w="590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支持方式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节能环保、减碳减排、低碳绿色、高科技产品及项目</w:t>
            </w:r>
          </w:p>
        </w:tc>
        <w:tc>
          <w:tcPr>
            <w:tcW w:w="590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产品策划、产品推广、产品销售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90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申请国家专项资金补贴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90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全方位帮助中小企业Q版、新三板、四版上市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90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支持中小企业“引进来、走出去”孵化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93939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支持中小企业参加法国斯特拉斯堡博览会及国际发明展览会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二、具体要求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1、树立平台理念，发挥职能作用，运用好平台与地方政府对接项目，给政府当好顾问，当好助手。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2、加强组织领导。坚持全面从严管理，着力加强各部门、各联络处、联络站的自身建设。严格组织观念、加强请示汇报，要与低碳委保持畅通沟通，做到有令就行，有禁就止，听从指挥。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3、强化目标责任考核。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  <w:t>各部门、各联络处、各联络站要加强责任制，建立责任追究制度。实行“谁主管、谁负责，谁负责、谁担当”的管理模式，制定具体工作方案，建立完善工作机制，各有关部门要根据职责分工，订出重点工作方向及量化目标。切实抓好低碳委的各项业务在本单位的落实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  <w:t>4、建立工作汇报制度。各单位，联络处、联络站，对本部门各项工作要做到年初有计划，有目标，有安排。年终要有工作总结和下一年工作计划。低碳委对各单位负责人实行工作述职制度。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  <w:t xml:space="preserve"> 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、加强学习，整合资源，开展合作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  <w:t>。各部门、各联络处、各联络站要提高自身的自觉性和主动性，认真学习党的方针政策，打牢理论功底。掌握低碳委的工作范围及工作内容、正确宣传低碳委的宗旨、目标、原则，加强对外开展合作交流。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kern w:val="2"/>
          <w:sz w:val="28"/>
          <w:szCs w:val="28"/>
          <w:shd w:val="clear" w:fill="FFFFFF"/>
          <w:lang w:val="en-US" w:eastAsia="zh-CN" w:bidi="ar-SA"/>
        </w:rPr>
        <w:t>城乡小康发展促进中心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低碳产业委员会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2017年3月1日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nion Pro Med">
    <w:altName w:val="Cambria Math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汉仪行楷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汉仪中隶书简">
    <w:altName w:val="隶书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锐字云字库行草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Zhum601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jaya">
    <w:altName w:val="Microsoft Sans Serif"/>
    <w:panose1 w:val="020B0604020000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NewsGoth BT">
    <w:altName w:val="Corbel"/>
    <w:panose1 w:val="020B0503020203020204"/>
    <w:charset w:val="00"/>
    <w:family w:val="auto"/>
    <w:pitch w:val="default"/>
    <w:sig w:usb0="00000000" w:usb1="00000000" w:usb2="00000000" w:usb3="00000000" w:csb0="0000001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Century751 BT">
    <w:altName w:val="Georgia"/>
    <w:panose1 w:val="02040503050505020304"/>
    <w:charset w:val="00"/>
    <w:family w:val="auto"/>
    <w:pitch w:val="default"/>
    <w:sig w:usb0="00000000" w:usb1="00000000" w:usb2="00000000" w:usb3="00000000" w:csb0="00000011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linga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8DA"/>
    <w:multiLevelType w:val="singleLevel"/>
    <w:tmpl w:val="58BD18DA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8BD1B5C"/>
    <w:multiLevelType w:val="singleLevel"/>
    <w:tmpl w:val="58BD1B5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8BD1C1B"/>
    <w:multiLevelType w:val="singleLevel"/>
    <w:tmpl w:val="58BD1C1B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8BD1C72"/>
    <w:multiLevelType w:val="singleLevel"/>
    <w:tmpl w:val="58BD1C72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3ECB"/>
    <w:rsid w:val="031A459E"/>
    <w:rsid w:val="03855D2F"/>
    <w:rsid w:val="05A234CB"/>
    <w:rsid w:val="092C4C77"/>
    <w:rsid w:val="0AD76AA8"/>
    <w:rsid w:val="0BBC1CFC"/>
    <w:rsid w:val="0F3C5B1C"/>
    <w:rsid w:val="0FBB18BB"/>
    <w:rsid w:val="101D2944"/>
    <w:rsid w:val="10A5251B"/>
    <w:rsid w:val="11204752"/>
    <w:rsid w:val="125203F5"/>
    <w:rsid w:val="15774534"/>
    <w:rsid w:val="15F472C5"/>
    <w:rsid w:val="17271192"/>
    <w:rsid w:val="17825E6C"/>
    <w:rsid w:val="180C38D6"/>
    <w:rsid w:val="19094301"/>
    <w:rsid w:val="19882CC1"/>
    <w:rsid w:val="1B856D48"/>
    <w:rsid w:val="1D6171B1"/>
    <w:rsid w:val="1DA65339"/>
    <w:rsid w:val="1DE2737F"/>
    <w:rsid w:val="1E8373FD"/>
    <w:rsid w:val="1EE4129F"/>
    <w:rsid w:val="1FAA38A0"/>
    <w:rsid w:val="202E1092"/>
    <w:rsid w:val="21194960"/>
    <w:rsid w:val="25255413"/>
    <w:rsid w:val="264A7D0C"/>
    <w:rsid w:val="269105DD"/>
    <w:rsid w:val="281120ED"/>
    <w:rsid w:val="281344ED"/>
    <w:rsid w:val="28ED03EE"/>
    <w:rsid w:val="29121FEF"/>
    <w:rsid w:val="2A041C4F"/>
    <w:rsid w:val="2A4F2708"/>
    <w:rsid w:val="2ACD080A"/>
    <w:rsid w:val="2BA46C51"/>
    <w:rsid w:val="2BD20AB9"/>
    <w:rsid w:val="2CBC553E"/>
    <w:rsid w:val="2CD3445A"/>
    <w:rsid w:val="30103ECB"/>
    <w:rsid w:val="30771C1C"/>
    <w:rsid w:val="328B513A"/>
    <w:rsid w:val="33304BC2"/>
    <w:rsid w:val="333166DE"/>
    <w:rsid w:val="33F36899"/>
    <w:rsid w:val="352754C6"/>
    <w:rsid w:val="398C05B5"/>
    <w:rsid w:val="3A041170"/>
    <w:rsid w:val="3C56605C"/>
    <w:rsid w:val="3D9A542B"/>
    <w:rsid w:val="42186724"/>
    <w:rsid w:val="43B91EC8"/>
    <w:rsid w:val="451532DD"/>
    <w:rsid w:val="471344EB"/>
    <w:rsid w:val="49E33CA2"/>
    <w:rsid w:val="4A39353D"/>
    <w:rsid w:val="4B761F12"/>
    <w:rsid w:val="4C9666C8"/>
    <w:rsid w:val="50AE126F"/>
    <w:rsid w:val="51B46A1F"/>
    <w:rsid w:val="526B77B9"/>
    <w:rsid w:val="52B85B30"/>
    <w:rsid w:val="53546E1B"/>
    <w:rsid w:val="55C218C7"/>
    <w:rsid w:val="563C1939"/>
    <w:rsid w:val="572F203D"/>
    <w:rsid w:val="599A0E57"/>
    <w:rsid w:val="5CE1429B"/>
    <w:rsid w:val="5D864F5B"/>
    <w:rsid w:val="5EB074B7"/>
    <w:rsid w:val="60A857DA"/>
    <w:rsid w:val="625B1A19"/>
    <w:rsid w:val="658F18F3"/>
    <w:rsid w:val="67712181"/>
    <w:rsid w:val="67C82BB6"/>
    <w:rsid w:val="67CE6F8A"/>
    <w:rsid w:val="688E02EF"/>
    <w:rsid w:val="69120CEC"/>
    <w:rsid w:val="69453951"/>
    <w:rsid w:val="698C1AF0"/>
    <w:rsid w:val="6AC41657"/>
    <w:rsid w:val="6D726EE8"/>
    <w:rsid w:val="6EBC6FAE"/>
    <w:rsid w:val="6EDD2F87"/>
    <w:rsid w:val="78067223"/>
    <w:rsid w:val="786D390F"/>
    <w:rsid w:val="78707BE1"/>
    <w:rsid w:val="7BE70578"/>
    <w:rsid w:val="7C0519B6"/>
    <w:rsid w:val="7C906687"/>
    <w:rsid w:val="7D844957"/>
    <w:rsid w:val="7E153166"/>
    <w:rsid w:val="7F2F6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2017-03-01T02:31:00Z</dcterms:created>
  <dc:creator>Administrator</dc:creator>
  <cp:lastModifiedBy>武立娟</cp:lastModifiedBy>
  <cp:lastPrinted>2017-03-07T02:51:00Z</cp:lastPrinted>
  <dcterms:modified xsi:type="dcterms:W3CDTF">2017-03-08T07:27:47Z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